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40"/>
          <w:szCs w:val="40"/>
        </w:rPr>
        <w:t xml:space="preserve">WYMAGANIA INFORMACYJNE ZAMAWIAJĄCEGO (EIR)</w:t>
      </w:r>
    </w:p>
    <w:p>
      <w:pPr>
        <w:spacing w:after="240"/>
      </w:pPr>
      <w:r>
        <w:rPr>
          <w:rFonts w:ascii="Plus Jakarta Sans SemiBold" w:cs="Plus Jakarta Sans SemiBold" w:eastAsia="Plus Jakarta Sans SemiBold" w:hAnsi="Plus Jakarta Sans SemiBold"/>
          <w:color w:val="00A68A"/>
          <w:sz w:val="21"/>
          <w:szCs w:val="21"/>
        </w:rPr>
        <w:t xml:space="preserve">zgodnie z PN-EN ISO 19650-1/2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Inwestycja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[nazwa inwestycji / adres]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Zamawiający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[nazwa inwestora]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Wersja dokumentu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0.2 — projekt roboczy (wzór </w:t>
            </w:r>
            <w:r>
              <w:rPr>
                <w:rFonts w:ascii="Callheart" w:cs="Callheart" w:eastAsia="Callheart" w:hAnsi="Callheart"/>
                <w:color w:val="C46D4E"/>
                <w:sz w:val="20"/>
                <w:szCs w:val="20"/>
              </w:rPr>
              <w:t xml:space="preserve">your</w:t>
            </w:r>
            <w:r>
              <w:rPr>
                <w:rFonts w:ascii="Plus Jakarta Sans SemiBold" w:cs="Plus Jakarta Sans SemiBold" w:eastAsia="Plus Jakarta Sans SemiBold" w:hAnsi="Plus Jakarta Sans SemiBold"/>
                <w:b w:val="false"/>
                <w:bCs w:val="false"/>
                <w:i w:val="false"/>
                <w:iCs w:val="false"/>
                <w:color w:val="28376A"/>
                <w:sz w:val="18"/>
                <w:szCs w:val="18"/>
              </w:rPr>
              <w:t xml:space="preserve">BIM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)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Data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2026-09-03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Status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Do konsultacji / uzgodnienia z Wykonawcą i Dostawcami Modeli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64748B"/>
                <w:sz w:val="17"/>
                <w:szCs w:val="17"/>
              </w:rPr>
              <w:t xml:space="preserve">Powiązane dokumenty</w:t>
            </w:r>
          </w:p>
        </w:tc>
        <w:tc>
          <w:tcPr>
            <w:tcW w:type="dxa" w:w="72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8"/>
                <w:szCs w:val="18"/>
              </w:rPr>
              <w:t xml:space="preserve">BIM Standard PL (wersja publikowana 2.0), PN-EN ISO 19650-1:2019, PN-EN ISO 19650-2:2019, [umowa / SWZ]</w:t>
            </w:r>
          </w:p>
        </w:tc>
      </w:tr>
    </w:tbl>
    <w:p>
      <w:pPr>
        <w:spacing w:after="0" w:before="1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00A68A" w:sz="18"/>
              <w:bottom w:val="none" w:color="FFFFFF" w:sz="0"/>
              <w:right w:val="none" w:color="FFFFFF" w:sz="0"/>
            </w:tcBorders>
            <w:shd w:fill="F8F9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Ten dokument definiuje, 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374151"/>
                <w:sz w:val="19"/>
                <w:szCs w:val="19"/>
              </w:rPr>
              <w:t xml:space="preserve">co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 ma zostać dostarczone w modelach BIM oraz 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374151"/>
                <w:sz w:val="19"/>
                <w:szCs w:val="19"/>
              </w:rPr>
              <w:t xml:space="preserve">jak automatycznie zweryfikuje to Zamawiający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. Każdy wymóg z rozdziałów 6–8 odpowiada konkretnej, zautomatyzowanej kontroli uruchamianej na dostarczonych plikach IFC — zestaw testów typu 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/>
                <w:iCs/>
                <w:color w:val="374151"/>
                <w:sz w:val="19"/>
                <w:szCs w:val="19"/>
              </w:rPr>
              <w:t xml:space="preserve">pass/fail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. Walidację prowadzi platforma </w:t>
            </w:r>
            <w:r>
              <w:rPr>
                <w:rFonts w:ascii="Callheart" w:cs="Callheart" w:eastAsia="Callheart" w:hAnsi="Callheart"/>
                <w:color w:val="C46D4E"/>
                <w:sz w:val="21"/>
                <w:szCs w:val="21"/>
              </w:rPr>
              <w:t xml:space="preserve">your</w:t>
            </w:r>
            <w:r>
              <w:rPr>
                <w:rFonts w:ascii="Plus Jakarta Sans SemiBold" w:cs="Plus Jakarta Sans SemiBold" w:eastAsia="Plus Jakarta Sans SemiBold" w:hAnsi="Plus Jakarta Sans SemiBold"/>
                <w:b w:val="false"/>
                <w:bCs w:val="false"/>
                <w:i w:val="false"/>
                <w:iCs w:val="false"/>
                <w:color w:val="28376A"/>
                <w:sz w:val="19"/>
                <w:szCs w:val="19"/>
              </w:rPr>
              <w:t xml:space="preserve">CHECKER BIM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 (walidacja techniczna i audyt danych) oraz </w:t>
            </w:r>
            <w:r>
              <w:rPr>
                <w:rFonts w:ascii="Callheart" w:cs="Callheart" w:eastAsia="Callheart" w:hAnsi="Callheart"/>
                <w:color w:val="C46D4E"/>
                <w:sz w:val="21"/>
                <w:szCs w:val="21"/>
              </w:rPr>
              <w:t xml:space="preserve">your</w:t>
            </w:r>
            <w:r>
              <w:rPr>
                <w:rFonts w:ascii="Plus Jakarta Sans SemiBold" w:cs="Plus Jakarta Sans SemiBold" w:eastAsia="Plus Jakarta Sans SemiBold" w:hAnsi="Plus Jakarta Sans SemiBold"/>
                <w:b w:val="false"/>
                <w:bCs w:val="false"/>
                <w:i w:val="false"/>
                <w:iCs w:val="false"/>
                <w:color w:val="28376A"/>
                <w:sz w:val="19"/>
                <w:szCs w:val="19"/>
              </w:rPr>
              <w:t xml:space="preserve">COORDINATOR BIM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 (koordynacja wielobranżowa i wykrywanie kolizji); dane 4D/5D weryfikują </w:t>
            </w:r>
            <w:r>
              <w:rPr>
                <w:rFonts w:ascii="Callheart" w:cs="Callheart" w:eastAsia="Callheart" w:hAnsi="Callheart"/>
                <w:color w:val="C46D4E"/>
                <w:sz w:val="21"/>
                <w:szCs w:val="21"/>
              </w:rPr>
              <w:t xml:space="preserve">your</w:t>
            </w:r>
            <w:r>
              <w:rPr>
                <w:rFonts w:ascii="Plus Jakarta Sans SemiBold" w:cs="Plus Jakarta Sans SemiBold" w:eastAsia="Plus Jakarta Sans SemiBold" w:hAnsi="Plus Jakarta Sans SemiBold"/>
                <w:b w:val="false"/>
                <w:bCs w:val="false"/>
                <w:i w:val="false"/>
                <w:iCs w:val="false"/>
                <w:color w:val="28376A"/>
                <w:sz w:val="19"/>
                <w:szCs w:val="19"/>
              </w:rPr>
              <w:t xml:space="preserve">SCHEDULER BIM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 i </w:t>
            </w:r>
            <w:r>
              <w:rPr>
                <w:rFonts w:ascii="Callheart" w:cs="Callheart" w:eastAsia="Callheart" w:hAnsi="Callheart"/>
                <w:color w:val="C46D4E"/>
                <w:sz w:val="21"/>
                <w:szCs w:val="21"/>
              </w:rPr>
              <w:t xml:space="preserve">your</w:t>
            </w:r>
            <w:r>
              <w:rPr>
                <w:rFonts w:ascii="Plus Jakarta Sans SemiBold" w:cs="Plus Jakarta Sans SemiBold" w:eastAsia="Plus Jakarta Sans SemiBold" w:hAnsi="Plus Jakarta Sans SemiBold"/>
                <w:b w:val="false"/>
                <w:bCs w:val="false"/>
                <w:i w:val="false"/>
                <w:iCs w:val="false"/>
                <w:color w:val="28376A"/>
                <w:sz w:val="19"/>
                <w:szCs w:val="19"/>
              </w:rPr>
              <w:t xml:space="preserve">ESTIMATOR BIM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.</w:t>
            </w:r>
          </w:p>
        </w:tc>
      </w:tr>
    </w:tbl>
    <w:p>
      <w:pPr>
        <w:pBdr>
          <w:bottom w:val="single" w:color="00A68A" w:sz="6" w:space="4"/>
        </w:pBdr>
        <w:spacing w:after="160" w:before="30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SPIS TREŚCI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1. Cel i zakres dokumentu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2. Cele i przypadki użycia BIM (BIM Uses)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3. Format wymiany danych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4. Podział modelu na dyscypliny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5. Poziom szczegółowości (LOD) — wymagania geometryczne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6. Wymagania niegeometryczne (dane, atrybuty, klasyfikacja)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7. Struktura przestrzenna modelu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8. Wymagania jakościowe modelu — kontrole automatyczne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8.1 Walidacja techniczna i strukturalna pliku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8.2 Audyt atrybutów i zestawów właściwości (Pset/Qto)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8.3 Istotność kolizji według LOD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8.4 Klasyfikacja branżowa i bSDD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8.5 Koordynacja wielobranżowa i wykrywanie kolizji</w:t>
      </w:r>
    </w:p>
    <w:p>
      <w:pPr>
        <w:spacing w:after="60"/>
        <w:ind w:left="32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8"/>
          <w:szCs w:val="18"/>
        </w:rPr>
        <w:t xml:space="preserve">8.6 Dane harmonogramowe (4D) i kosztowe (5D)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9. Proces dostawy i walidacji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10. Kryteria odbioru (Definition of Done) wg etapu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11. Role i odpowiedzialności</w:t>
      </w:r>
    </w:p>
    <w:p>
      <w:pPr>
        <w:spacing w:after="11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28376A"/>
          <w:sz w:val="19"/>
          <w:szCs w:val="19"/>
        </w:rPr>
        <w:t xml:space="preserve">12. Załączniki</w:t>
      </w:r>
    </w:p>
    <w:p>
      <w:r>
        <w:br w:type="page"/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1. Cel i zakres dokumentu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Niniejsze EIR (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111827"/>
          <w:sz w:val="20"/>
          <w:szCs w:val="20"/>
        </w:rPr>
        <w:t xml:space="preserve">Employer's Information Requirements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Wymagania Informacyjne Zamawiającego) określa wymagania dotyczące danych i modeli cyfrowych (BIM) dostarczanych przez Wykonawcę i jego podwykonawców branżowych na etapach: [projekt koncepcyjny / budowlany / wykonawczy / dokumentacja powykonawcza — zaznaczyć właściwe].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Modele dostarczane w formacie IFC są przepuszczane przez zautomatyzowany zestaw kontroli jakości danych (walidator). Wynik walidacji jest warunkiem odbioru dostawy informacji (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111827"/>
          <w:sz w:val="20"/>
          <w:szCs w:val="20"/>
        </w:rPr>
        <w:t xml:space="preserve">Information Delivery Milestone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). Dostawca modelu odpowiada za to, aby jego model przechodził walidację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przed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przekazaniem do CDE w statusie Shared.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Zamawiający nie wymaga, aby Wykonawca utrzymywał własny, rozbudowany zespół BIM ani wdrażał dedykowane oprogramowanie do kontroli jakości — rolę tę pełni platforma walidacyjna Zamawiającego, dostępna dla Dostawców Modeli w trybie self-service (folder WIP → walidacja → raport zwrotny).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2. Cele i przypadki użycia BIM (BIM Uses)</w:t>
      </w:r>
    </w:p>
    <w:p>
      <w:pPr>
        <w:spacing w:after="8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Zaznaczyć obowiązujące w projekcie: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Koordynacja międzybranżowa / wykrywanie kolizji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Przedmiar i kosztorysowanie (ilości z modelu — Qto)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Harmonogramowanie 4D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Kontrola kosztu w czasie (5D — koszt powiązany z datami harmonogramu)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Analizy energetyczne / środowiskowe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Zarządzanie eksploatacją (6D/FM) — przekazanie do CAFM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Wizualizacje i uzgodnienia z inwestorem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Inne: [___]</w:t>
      </w:r>
    </w:p>
    <w:p>
      <w:pPr>
        <w:spacing w:after="140" w:before="6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Zakres wymagań w rozdziałach 6–8 powinien zostać dopasowany do wybranych celów (np. FM wymaga pełniejszych Psetów niż sama koordynacja; 5D wymaga wcześniej przygotowanych danych 4D — patrz 8.6).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3. Format wymiany danych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blHeader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Wymóg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Wartość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Format referencyjny (openBIM)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IFC4X3-ADD2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(dopuszczalny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IFC4X3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; schemat musi być zadeklarowany w nagłówku pliku i zgodny z zawartością)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Format natywny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dostarczany równolegle z IFC (Revit / ArchiCAD / Tekla / Civil3D itp.)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Kodowanie plików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UTF-8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Środowisko wspólne danych (CDE)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struktura WIP / Shared / Published / Archived wg ISO 19650-2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Konwencja nazewnictwa plików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[Projekt]-[Branża]-[Poziom/Strefa]-[Typ]-[Numer].ifc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, gdzie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[Branża]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to jednoliterowy kod wg rozdz. 4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Podział plików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jeden plik IFC = jedna dyscyplina</w:t>
            </w:r>
          </w:p>
        </w:tc>
      </w:tr>
    </w:tbl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4. Podział modelu na dyscypliny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Każdy plik IFC musi jednoznacznie deklarować przynależność do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jednej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dyscypliny wg poniższego słownika kodów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BIM Standard PL (wersja 2.0) — 20 kodów jednoliterowych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. Kod dyscypliny jest częścią nazwy pliku i jest wykorzystywany przez silnik koordynacji wielobranżowej do doboru reguł kolizji (rozdz. 8.5, Załącznik 5).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438"/>
      </w:tblGrid>
      <w:tr>
        <w:trPr>
          <w:cantSplit/>
          <w:tblHeader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Kod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Dyscyplina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A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Architektura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B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Inwentaryzacja / geodezja budowlana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C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Konstrukcje inżynierskie (mosty, obiekty inżynierskie)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D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Rozbiórki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E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Instalacje elektryczne (silnoprąd, słaboprąd, teletechnika)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F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Zarządzanie obiektem (FM)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G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Geotechnika (fundamentowanie, tunele, roboty podziemne)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H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Drogi i infrastruktura transportowa (drogi, tory, trakcja)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L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Architektura krajobrazu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M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Instalacje mechaniczne (wentylacja, klimatyzacja, ogrzewanie, transport pionowy)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O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Inna branża — wymaga uzgodnienia indywidualnego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P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Instalacje sanitarne (woda, kanalizacja, gaz, instalacje ppoż. wodne)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Q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Kosztorysowanie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R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Zarządzanie projektem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S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Konstrukcje budowlane (żelbet, stal, drewno, mur)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T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Planowanie przestrzenne / nadzór budowlany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W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Gospodarka wodna (sieci i obiekty wodne zewnętrzne)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X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Nie dotyczy / brak konkretnej branży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Y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Geodezja terenowa</w:t>
            </w:r>
          </w:p>
        </w:tc>
      </w:tr>
      <w:tr>
        <w:trPr>
          <w:cantSplit/>
        </w:trPr>
        <w:tc>
          <w:tcPr>
            <w:tcW w:type="dxa" w:w="1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Z</w:t>
            </w:r>
          </w:p>
        </w:tc>
        <w:tc>
          <w:tcPr>
            <w:tcW w:type="dxa" w:w="8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Wiele branż (model zbiorczy — tylko do wglądu, nie podlega walidacji jak model źródłowy)</w:t>
            </w:r>
          </w:p>
        </w:tc>
      </w:tr>
    </w:tbl>
    <w:p>
      <w:pPr>
        <w:spacing w:after="0" w:before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46D4E" w:sz="18"/>
              <w:bottom w:val="none" w:color="FFFFFF" w:sz="0"/>
              <w:right w:val="none" w:color="FFFFFF" w:sz="0"/>
            </w:tcBorders>
            <w:shd w:fill="F8F9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Zmiana względem wcześniejszych wersji EIR: słownik 24 kodów trzyliterowych (ARC/STR/VAC/...) został zastąpiony 20 kodami jednoliterowymi BIM Standard PL. Macierz kolizji (Załącznik 5) jest przekluczowana na nowe kody — pary z udziałem kodów bez odpowiednika w poprzednim słowniku (B, D, F, Q, R, T, Y, Z) wymagają indywidualnego ustalenia klas IFC i tolerancji przez BIM Managera Zamawiającego przed aktywacją kontroli.</w:t>
            </w:r>
          </w:p>
        </w:tc>
      </w:tr>
    </w:tbl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5. Poziom szczegółowości (LOD) — wymagania geometryczne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Poziom szczegółowości elementów jest definiowany dla każdej kategorii i etapu projektu wg macierzy LOD (Załącznik 1), zgodnie z BIM Standard PL. Kryterium rozróżniające kolejne poziomy dla przegród to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minimalna powierzchnia otworu, która musi zostać odwzorowana bryłowo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(a nie pominięta ani domodelowana jako „pełna ściana”). Ten sam próg jest używany przez silnik koordynacji do oceny istotności kolizji (rozdz. 8.3).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38"/>
        <w:gridCol w:w="1800"/>
        <w:gridCol w:w="1300"/>
        <w:gridCol w:w="1300"/>
        <w:gridCol w:w="1300"/>
        <w:gridCol w:w="2000"/>
      </w:tblGrid>
      <w:tr>
        <w:trPr>
          <w:cantSplit/>
          <w:tblHeader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Kategoria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Klasy IFC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LOD2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LOD3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LOD4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LOD5</w:t>
            </w:r>
          </w:p>
        </w:tc>
      </w:tr>
      <w:tr>
        <w:trPr>
          <w:cantSplit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Fundamenty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IfcFooting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,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IfcPile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0,06 m²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wszystkie</w:t>
            </w:r>
          </w:p>
        </w:tc>
      </w:tr>
      <w:tr>
        <w:trPr>
          <w:cantSplit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Konstrukcje żelbetowe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IfcColumn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,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IfcBeam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0,06 m²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wszystkie</w:t>
            </w:r>
          </w:p>
        </w:tc>
      </w:tr>
      <w:tr>
        <w:trPr>
          <w:cantSplit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Stropy / rampy / posadzki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IfcSlab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,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IfcRamp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0,06 m²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wszystkie</w:t>
            </w:r>
          </w:p>
        </w:tc>
      </w:tr>
      <w:tr>
        <w:trPr>
          <w:cantSplit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Ściany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IfcWall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0,06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0,006 m²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wszystkie</w:t>
            </w:r>
          </w:p>
        </w:tc>
      </w:tr>
      <w:tr>
        <w:trPr>
          <w:cantSplit/>
        </w:trPr>
        <w:tc>
          <w:tcPr>
            <w:tcW w:type="dxa" w:w="19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Dachy</w:t>
            </w:r>
          </w:p>
        </w:tc>
        <w:tc>
          <w:tcPr>
            <w:tcW w:type="dxa" w:w="1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IfcRoof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0,40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0,06 m²</w:t>
            </w:r>
          </w:p>
        </w:tc>
        <w:tc>
          <w:tcPr>
            <w:tcW w:type="dxa" w:w="13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≥ 0,006 m²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wszystkie</w:t>
            </w:r>
          </w:p>
        </w:tc>
      </w:tr>
    </w:tbl>
    <w:p>
      <w:pPr>
        <w:spacing w:after="140" w:before="14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Pełna macierz (wszystkie kategorie i etapy) — patrz Załącznik 1. Wymagany LOD na etap projektu: [do uzupełnienia, np. Projekt Budowlany = LOD3, Projekt Wykonawczy = LOD4]. LOD modelu jest deklarowany przy przekazaniu pliku — na tej podstawie walidator dobiera progi istotności kolizji (rozdz. 8.3).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6. Wymagania niegeometryczne (dane, atrybuty, klasyfikacja)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Dla każdej klasy IFC określone są obowiązkowe zestawy właściwości (Pset) i wielkości (Qto). Minimalny zakres: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569"/>
        <w:gridCol w:w="3569"/>
      </w:tblGrid>
      <w:tr>
        <w:trPr>
          <w:cantSplit/>
          <w:tblHeader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Klasa IFC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Wymagany Pset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Wymagane Qto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IfcWall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Pset_WallCommon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IsExternal, LoadBearing, FireRating, AcousticRating, ThermalTransmittance, Status, Combustible, Compartmentation, SurfaceSpreadOfFlame, ExtendToStructure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Qto_WallBaseQuantities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Height, GrossSideArea, NetFootPrintArea, GrossFootPrintArea, GrossVolume, GrossWeight, NetWeight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IfcSlab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Pset_SlabCommon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PitchAngle, Combustible, Compartmentation, Status, ThermalTransmittance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Qto_SlabBaseQuantities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GrossArea, NetArea, GrossVolume, GrossWeight, NetWeight, Length, Width, Perimeter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IfcRoof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Pset_RoofCommon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IsExternal, LoadBearing, FireRating, AcousticRating, Status, ThermalTransmittance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Qto_RoofBaseQuantities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: GrossArea, NetArea, ProjectedArea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IfcColumn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/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IfcBeam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Pset_ColumnCommon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/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Pset_BeamCommon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Qto_ColumnBaseQuantities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/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Qto_BeamBaseQuantities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...</w:t>
            </w:r>
          </w:p>
        </w:tc>
        <w:tc>
          <w:tcPr>
            <w:tcW w:type="dxa" w:w="4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wg pełnej listy dołączonej do dokumentacji technicznej [Załącznik 3]</w:t>
            </w:r>
          </w:p>
        </w:tc>
        <w:tc>
          <w:tcPr>
            <w:tcW w:type="dxa" w:w="3569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</w:p>
        </w:tc>
      </w:tr>
    </w:tbl>
    <w:p>
      <w:pPr>
        <w:spacing w:after="80" w:before="14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Dodatkowo: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każdy element musi posiadać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unikalny GlobalId (GUID)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utrzymywany przez cały cykl życia modelu, bez regeneracji przy każdym eksporcie;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każdy element musi być przypisany do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klasy IFC odpowiadającej jego rzeczywistej funkcji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, zgodnie ze słownikiem klasyfikacji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bSDD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(buildingSMART Data Dictionary) projektu [Załącznik 4]. Stosowanie </w:t>
      </w:r>
      <w:r>
        <w:rPr>
          <w:rFonts w:ascii="Consolas" w:cs="Consolas" w:eastAsia="Consolas" w:hAnsi="Consolas"/>
          <w:color w:val="0F3D5C"/>
          <w:sz w:val="18"/>
          <w:szCs w:val="18"/>
        </w:rPr>
        <w:t xml:space="preserve">IfcBuildingElementProxy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/ </w:t>
      </w:r>
      <w:r>
        <w:rPr>
          <w:rFonts w:ascii="Consolas" w:cs="Consolas" w:eastAsia="Consolas" w:hAnsi="Consolas"/>
          <w:color w:val="0F3D5C"/>
          <w:sz w:val="18"/>
          <w:szCs w:val="18"/>
        </w:rPr>
        <w:t xml:space="preserve">IfcBuiltElement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bez podtypu jest dopuszczalne wyłącznie w uzasadnionych przypadkach (elementy nieujęte w schemacie IFC) i podlega limitowi ilościowemu (rozdz. 8.1);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audyt danych rozróżnia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brak parametru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(element nie ma przypisanego Pset/property) od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wartości pustej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(property przypisane, ale bez wartości) — oba typy są raportowane osobno.</w:t>
      </w:r>
    </w:p>
    <w:p>
      <w:pPr>
        <w:spacing w:after="140" w:before="6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Klasyfikacja przedmiarowa/kosztowa (Uniclass, MasterFormat, WBS/CBS) może być przekazana jako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IfcClassificationReference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powiązany relacją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IfcRelAssociatesClassification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— patrz 8.6.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7. Struktura przestrzenna modelu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Model musi zachowywać poprawną hierarchię przestrzenną IFC: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IfcProject → IfcSite → IfcBuilding → IfcBuildingStorey → Element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Każdy element musi być powiązany (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IfcRelContainedInSpatialStructure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) z odpowiednią kondygnacją / lokalizacją — elementy bez takiego powiązania są traktowane jako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osierocone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i odrzucane w walidacji (rozdz. 8.1).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8. Wymagania jakościowe modelu — kontrole automatyczne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Dostawa modelu do CDE (folder Shared) jest jednoznaczna ze zgodą na przeprowadzenie audytu. Poniżej pełna lista kontroli, kryterium akceptacji oraz format raportu zwrotnego.</w:t>
      </w:r>
    </w:p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8.1 Walidacja techniczna i strukturalna pliku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CHECKER BIM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64748B"/>
          <w:sz w:val="16"/>
          <w:szCs w:val="16"/>
        </w:rPr>
        <w:t xml:space="preserve"> · LVL 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rPr>
          <w:cantSplit/>
          <w:tblHeader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Kontrola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Kryterium akceptacji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Zgodność ze zadeklarowanym schematem IFC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plik deklaruje schemat (np.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IFC4X3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) i jest z nim zgodny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Błędy składniowe pliku IFC (STEP)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błędów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Błędy struktury drzewa przestrzennego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błędów (pełna hierarchia Site → Building → Storey → Element)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Duplikaty GUID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duplikatów w obrębie pliku i między dostawami tej samej dyscypliny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Elementy osierocone (brak przypisania do struktury przestrzennej)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0, lub lista wyjątków zaakceptowana przez BIM Koordynatora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Duplikaty geometrii (dwa obiekty z identyczną bryłą w tym samym miejscu)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Udział elementów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IfcBuildingElementProxy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 / bez podtypu</w:t>
            </w:r>
          </w:p>
        </w:tc>
        <w:tc>
          <w:tcPr>
            <w:tcW w:type="dxa" w:w="5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≤ 1% wszystkich elementów; każde wystąpienie wymaga uzasadnienia</w:t>
            </w:r>
          </w:p>
        </w:tc>
      </w:tr>
    </w:tbl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8.2 Audyt atrybutów i zestawów właściwości (Pset/Qto)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CHECKER BIM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64748B"/>
          <w:sz w:val="16"/>
          <w:szCs w:val="16"/>
        </w:rPr>
        <w:t xml:space="preserve"> · LVL 0.2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Dla każdego elementu system porównuje obecne Psety/Qto z listą wymaganą dla jego klasy IFC (rozdz. 6, Załącznik 3) — w oparciu o słownik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bSDD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projektu — i generuje raport braków (element → brakujące atrybuty → brakujące wielkości), z rozróżnieniem 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111827"/>
          <w:sz w:val="20"/>
          <w:szCs w:val="20"/>
        </w:rPr>
        <w:t xml:space="preserve">brak parametru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vs 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111827"/>
          <w:sz w:val="20"/>
          <w:szCs w:val="20"/>
        </w:rPr>
        <w:t xml:space="preserve">wartość pusta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Kryterium akceptacji: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≥ 95% elementów posiada komplet wymaganych atrybutów dla swojej klasy i etapu projektu. Elementy z brakami są wypisywane (GUID, klasa, nazwa, kondygnacja) w raporcie zwrotnym, ze wskaźnikiem uzupełnienia per branża.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Na tym samym etapie generowany jest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pełny przedmiar ilościowy per element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(CSV) — zestawienie wszystkich wartości Qto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Pset_Common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obecnych w modelu, z kolumnami dopasowanymi do parametrów faktycznie występujących w pliku. Plik ten jest podstawą pod kosztorys (5D, rozdz. 8.6) i pod przedmiarowanie w przeglądarce modelu.</w:t>
      </w:r>
    </w:p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8.3 Istotność kolizji według LOD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COORDINATOR BIM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64748B"/>
          <w:sz w:val="16"/>
          <w:szCs w:val="16"/>
        </w:rPr>
        <w:t xml:space="preserve"> · LVL 1 · LOD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Każda wykryta kolizja jest klasyfikowana jako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Istotna / Nieistotna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przez porównanie pola przenikania (lub pola pominiętego otworu w przegrodzie) z progiem z macierzy LOD (rozdz. 5, Załącznik 1) właściwym dla zadeklarowanego LOD modelu. Próg zaostrza się wraz z LOD3 → LOD4.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Kryterium akceptacji: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brak kolizji Istotnych nierozwiązanych na dany etap. Kolizje Nieistotne są dokumentowane, nie blokują odbioru.</w:t>
      </w:r>
    </w:p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8.4 Klasyfikacja branżowa i bSDD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CHECKER BIM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Kryterium akceptacji: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każdy element ma przypisaną encję IFC zgodną z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bSDD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— zgodnie ze słownikiem projektu [Załącznik 4].</w:t>
      </w:r>
    </w:p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8.5 Koordynacja wielobranżowa i wykrywanie kolizji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COORDINATOR BIM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64748B"/>
          <w:sz w:val="16"/>
          <w:szCs w:val="16"/>
        </w:rPr>
        <w:t xml:space="preserve"> · LVL 1–3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Modele wszystkich dyscyplin są we wspólnym układzie współrzędnych (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111827"/>
          <w:sz w:val="20"/>
          <w:szCs w:val="20"/>
        </w:rPr>
        <w:t xml:space="preserve">world coordinates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) i poddawane rzeczywistej detekcji kolizji. Reguły par branż definiuje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macierz kolizji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(Załącznik 5): dla każdej pary klas IFC z dwóch branż określona jest tolerancja w mm oraz flaga wykluczenia kolizji w obrębie tego samego systemu instalacyjnego. Kontrolowane są także kolizje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wewnątrzbranżowe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(para tej samej dyscypliny), tymi samymi progami.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Dla każdej analizy silnik buduje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rzeczywistą macierz sesji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— zawężenie ~30 mln reguł teoretycznych do par branża + klasa faktycznie występujących w przekazanych plikach. Zamawiający może wgrać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własną macierz kolizji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(CSV lub XLSX), która nadpisuje macierz domyślną i pomija to zawężenie.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838"/>
        <w:gridCol w:w="3000"/>
      </w:tblGrid>
      <w:tr>
        <w:trPr>
          <w:cantSplit/>
          <w:tblHeader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Rodzaj kolizji</w:t>
            </w:r>
          </w:p>
        </w:tc>
        <w:tc>
          <w:tcPr>
            <w:tcW w:type="dxa" w:w="3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Definicja</w:t>
            </w:r>
          </w:p>
        </w:tc>
        <w:tc>
          <w:tcPr>
            <w:tcW w:type="dxa" w:w="3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Próg akceptacji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Kolizja twarda (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/>
                <w:iCs/>
                <w:color w:val="111827"/>
                <w:sz w:val="17"/>
                <w:szCs w:val="17"/>
              </w:rPr>
              <w:t xml:space="preserve">hard clash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)</w:t>
            </w:r>
          </w:p>
        </w:tc>
        <w:tc>
          <w:tcPr>
            <w:tcW w:type="dxa" w:w="3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Rzeczywiste przenikanie brył dwóch elementów ponad tolerancję</w:t>
            </w:r>
          </w:p>
        </w:tc>
        <w:tc>
          <w:tcPr>
            <w:tcW w:type="dxa" w:w="3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nierozwiązanych na dany etap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Kolizja tolerancyjna (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/>
                <w:iCs/>
                <w:color w:val="111827"/>
                <w:sz w:val="17"/>
                <w:szCs w:val="17"/>
              </w:rPr>
              <w:t xml:space="preserve">clearance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)</w:t>
            </w:r>
          </w:p>
        </w:tc>
        <w:tc>
          <w:tcPr>
            <w:tcW w:type="dxa" w:w="3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Naruszenie wymaganego prześwitu serwisowego / montażowego</w:t>
            </w:r>
          </w:p>
        </w:tc>
        <w:tc>
          <w:tcPr>
            <w:tcW w:type="dxa" w:w="3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nierozwiązanych krytycznych, pozostałe udokumentowane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Kolizja wewnątrzbranżowa</w:t>
            </w:r>
          </w:p>
        </w:tc>
        <w:tc>
          <w:tcPr>
            <w:tcW w:type="dxa" w:w="3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Kolizje w obrębie jednej dyscypliny</w:t>
            </w:r>
          </w:p>
        </w:tc>
        <w:tc>
          <w:tcPr>
            <w:tcW w:type="dxa" w:w="3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 w:before="14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Raport zwrotny: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lista kolizji w formacie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BCF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(do wczytania w dowolnym viewerze IFC + BCF), zestawienie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oraz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PDF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ze zrzutami 3D każdej kolizji, z podziałem na parę branż, klasy IFC, GUID obu elementów i odległość przenikania. Przy analizie z danymi 4D (rozdz. 8.6) kolizje są dodatkowo filtrowane czasowo — kolizja liczy się tylko, gdy oba elementy są na budowie tego samego dnia.</w:t>
      </w:r>
    </w:p>
    <w:p>
      <w:pPr>
        <w:spacing w:after="8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Poziomy usługi koordynacyjnej: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LVL 1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automatyczna macierz kolizji z priorytetami.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LVL 1 · LOD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ocena istotności kolizji wg progu pola przenikania (rozdz. 8.3).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LVL 2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374151"/>
          <w:sz w:val="19"/>
          <w:szCs w:val="19"/>
        </w:rPr>
        <w:t xml:space="preserve">human in the loop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: analiza kolizji i błędów przez człowieka, zatwierdzanie pozycji „to nie kolizja” (nadpisanie w stanie, bez modyfikacji danych źródłowych).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LVL 3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nadzór inwestorski: udział w koordynacjach, doradztwo.</w:t>
      </w:r>
    </w:p>
    <w:p>
      <w:pPr>
        <w:pStyle w:val="Heading2"/>
        <w:spacing w:after="40" w:before="220"/>
      </w:pPr>
      <w:r>
        <w:rPr>
          <w:rFonts w:ascii="Plus Jakarta Sans SemiBold" w:cs="Plus Jakarta Sans SemiBold" w:eastAsia="Plus Jakarta Sans SemiBold" w:hAnsi="Plus Jakarta Sans SemiBold"/>
          <w:color w:val="28376A"/>
          <w:sz w:val="20"/>
          <w:szCs w:val="20"/>
        </w:rPr>
        <w:t xml:space="preserve">8.6 Dane harmonogramowe (4D) i kosztowe (5D)</w:t>
      </w:r>
    </w:p>
    <w:p>
      <w:pPr>
        <w:spacing w:after="140" w:before="0"/>
      </w:pP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SCHEDULER BIM</w:t>
      </w:r>
      <w:r>
        <w:rPr>
          <w:rFonts w:ascii="Plus Jakarta Sans" w:cs="Plus Jakarta Sans" w:eastAsia="Plus Jakarta Sans" w:hAnsi="Plus Jakarta Sans"/>
          <w:b w:val="false"/>
          <w:bCs w:val="false"/>
          <w:i/>
          <w:iCs/>
          <w:color w:val="64748B"/>
          <w:sz w:val="16"/>
          <w:szCs w:val="16"/>
        </w:rPr>
        <w:t xml:space="preserve"> / </w:t>
      </w:r>
      <w:r>
        <w:rPr>
          <w:rFonts w:ascii="Callheart" w:cs="Callheart" w:eastAsia="Callheart" w:hAnsi="Callheart"/>
          <w:color w:val="C46D4E"/>
          <w:sz w:val="18"/>
          <w:szCs w:val="18"/>
        </w:rPr>
        <w:t xml:space="preserve">your</w:t>
      </w:r>
      <w:r>
        <w:rPr>
          <w:rFonts w:ascii="Plus Jakarta Sans SemiBold" w:cs="Plus Jakarta Sans SemiBold" w:eastAsia="Plus Jakarta Sans SemiBold" w:hAnsi="Plus Jakarta Sans SemiBold"/>
          <w:b w:val="false"/>
          <w:bCs w:val="false"/>
          <w:i/>
          <w:iCs/>
          <w:color w:val="28376A"/>
          <w:sz w:val="16"/>
          <w:szCs w:val="16"/>
        </w:rPr>
        <w:t xml:space="preserve">ESTIMATOR BIM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Wymagane tylko, jeśli w rozdz. 2 wybrano harmonogramowanie 4D i/lub kontrolę kosztu w czasie 5D.</w:t>
      </w:r>
    </w:p>
    <w:p>
      <w:pPr>
        <w:spacing w:after="8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4D — `Pset_ITB_4D` na elementach: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blHeader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Pole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Znaczenie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KodHarmonogramu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na każdym elemencie trwałym — musi odpowiadać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ActivityID</w:t>
            </w: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 w eksporcie harmonogramu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Tymczasowy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 (Prawda/Fałsz)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odróżnia element trwały od tymczasowego (rusztowanie, deskowanie, zaplecze)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Wyburzany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 (Prawda/Fałsz)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element istniejący, znikający z modelu 3D w dniu rozbiórki — dla renowacji i przebudów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KodMontazu</w:t>
            </w: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 / </w:t>
            </w: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KodDemontazu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dla elementów tymczasowych — dwa zadania harmonogramu (pojawienie się i zniknięcie w 3D)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KodWyburzenia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dla elementów wyburzanych — data zniknięcia elementu</w:t>
            </w:r>
          </w:p>
        </w:tc>
      </w:tr>
    </w:tbl>
    <w:p>
      <w:pPr>
        <w:spacing w:after="140" w:before="14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Plik harmonogramu: eksport z MS Project / Primavera P6 do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w układzie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ActivityID; Nazwa; Start; Finish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.</w:t>
      </w:r>
    </w:p>
    <w:p>
      <w:pPr>
        <w:spacing w:after="8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5D — `Pset_ITB_5D` na elementach: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blHeader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Pole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Znaczenie</w:t>
            </w:r>
          </w:p>
        </w:tc>
      </w:tr>
      <w:tr>
        <w:trPr>
          <w:cantSplit/>
        </w:trPr>
        <w:tc>
          <w:tcPr>
            <w:tcW w:type="dxa" w:w="28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0F3D5C"/>
                <w:sz w:val="16"/>
                <w:szCs w:val="16"/>
              </w:rPr>
              <w:t xml:space="preserve">KodKosztorysowy</w:t>
            </w:r>
          </w:p>
        </w:tc>
        <w:tc>
          <w:tcPr>
            <w:tcW w:type="dxa" w:w="68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na każdym elemencie do wyceny — musi odpowiadać kodowi w cenniku</w:t>
            </w:r>
          </w:p>
        </w:tc>
      </w:tr>
    </w:tbl>
    <w:p>
      <w:pPr>
        <w:spacing w:after="140" w:before="14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Cennik: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w układzie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KodKosztorysowy; Nazwa; Parametr; CenaJednostkowa; JednostkaMiary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, gdzie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Parametr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wskazuje wielkość do zliczenia (np.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Qto: NetVolume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,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Pset_Common: &lt;Attr&gt;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lub liczba wystąpień). Ilość jest rozwiązywana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per element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z jego własnych wartości Qto/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Pset_Common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— bez ręcznej wyceny pozycji. Koszt w czasie (krzywa S) powstaje z połączenia rozwiązanego kosztu 5D z rozwiązaną datą 4D; elementy z kosztem, ale bez daty, trafiają do osobnego worka „suma bez daty” (nie są pomijane).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Źródło kodu (opcjonalnie):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zamiast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Pset_ITB_4D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Pset_ITB_5D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główny kod (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KodHarmonogramu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KodKosztorysowy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) może być czytany z natywnej klasyfikacji IFC —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IfcClassificationReference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(Uniclass, MasterFormat, WBS/CBS) powiązany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IfcRelAssociatesClassification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. Flagi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Tymczasowy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Wyburzany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oraz para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KodMontazu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KodDemontazu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pozostają wyłącznie w Pset.</w:t>
      </w:r>
    </w:p>
    <w:p>
      <w:pPr>
        <w:spacing w:after="140" w:before="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111827"/>
          <w:sz w:val="20"/>
          <w:szCs w:val="20"/>
        </w:rPr>
        <w:t xml:space="preserve">Audyt 4D/5D: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status per element —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OK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Brak_Pset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Brak_Kodu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Kod_Nieznaleziony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Brak_Pary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(4D) / </w:t>
      </w:r>
      <w:r>
        <w:rPr>
          <w:rFonts w:ascii="Consolas" w:cs="Consolas" w:eastAsia="Consolas" w:hAnsi="Consolas"/>
          <w:color w:val="0F3D5C"/>
          <w:sz w:val="19"/>
          <w:szCs w:val="19"/>
        </w:rPr>
        <w:t xml:space="preserve">Brak_Wartosci_Parametru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111827"/>
          <w:sz w:val="20"/>
          <w:szCs w:val="20"/>
        </w:rPr>
        <w:t xml:space="preserve"> (5D). Raport braków w CSV (GUID, klasa, kondygnacja, status).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9. Proces dostawy i walidacji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Dostawca branżowy przesyła model IFC do obszaru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WIP → Shared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w CDE zgodnie z harmonogramem [Załącznik CDE / harmonogram BEP].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Pipeline walidacyjny generuje: podsumowanie techniczne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JSON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, rozdz. 8.1), raport braków atrybutów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, rozdz. 8.2), pełny przedmiar ilościowy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, rozdz. 8.2), raport zgodności LOD i istotności kolizji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), raport kolizji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BCF + CSV + PDF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zbiorczy ze zrzutami 3D, rozdz. 8.5), raport powiązań 4D/5D (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CSV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, jeśli dotyczy, rozdz. 8.6).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Model, który nie spełnia kryteriów akceptacji z rozdz. 8, wraca do dostawcy z listą niezgodności i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nie zostaje opublikowany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w statusie Shared/Published.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Jeśli mimo błędów podjęto decyzję o kontynuacji koordynacji (np. świadome przejście do etapu kolizji przy niekompletnych danych), decyzja ta jest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odnotowywana w logu koordynacji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(brama decyzyjna) wraz z autorem i datą.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Dostawca poprawia model i przesyła ponownie — cykl powtarza się do uzyskania statusu zgodności.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Termin na korektę: </w:t>
      </w: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[X dni roboczych]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od otrzymania raportu.</w:t>
      </w:r>
    </w:p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10. Kryteria odbioru (Definition of Done) wg etapu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38"/>
        <w:gridCol w:w="1400"/>
        <w:gridCol w:w="2200"/>
        <w:gridCol w:w="2000"/>
        <w:gridCol w:w="1600"/>
      </w:tblGrid>
      <w:tr>
        <w:trPr>
          <w:cantSplit/>
          <w:tblHeader/>
        </w:trPr>
        <w:tc>
          <w:tcPr>
            <w:tcW w:type="dxa" w:w="2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Etap</w:t>
            </w:r>
          </w:p>
        </w:tc>
        <w:tc>
          <w:tcPr>
            <w:tcW w:type="dxa" w:w="1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Wymagany LOD</w:t>
            </w:r>
          </w:p>
        </w:tc>
        <w:tc>
          <w:tcPr>
            <w:tcW w:type="dxa" w:w="2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Kontrole 8.1–8.4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Koordynacja 8.5</w:t>
            </w:r>
          </w:p>
        </w:tc>
        <w:tc>
          <w:tcPr>
            <w:tcW w:type="dxa" w:w="16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Dane 8.6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Koncepcja</w:t>
            </w:r>
          </w:p>
        </w:tc>
        <w:tc>
          <w:tcPr>
            <w:tcW w:type="dxa" w:w="1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LOD2</w:t>
            </w:r>
          </w:p>
        </w:tc>
        <w:tc>
          <w:tcPr>
            <w:tcW w:type="dxa" w:w="2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wymagane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informacyjnie</w:t>
            </w:r>
          </w:p>
        </w:tc>
        <w:tc>
          <w:tcPr>
            <w:tcW w:type="dxa" w:w="16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Projekt budowlany</w:t>
            </w:r>
          </w:p>
        </w:tc>
        <w:tc>
          <w:tcPr>
            <w:tcW w:type="dxa" w:w="1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LOD3</w:t>
            </w:r>
          </w:p>
        </w:tc>
        <w:tc>
          <w:tcPr>
            <w:tcW w:type="dxa" w:w="2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wymagane, 0 błędów krytycznych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kolizji twardych Istotnych</w:t>
            </w:r>
          </w:p>
        </w:tc>
        <w:tc>
          <w:tcPr>
            <w:tcW w:type="dxa" w:w="16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4D informacyjnie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Projekt wykonawczy</w:t>
            </w:r>
          </w:p>
        </w:tc>
        <w:tc>
          <w:tcPr>
            <w:tcW w:type="dxa" w:w="1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LOD4</w:t>
            </w:r>
          </w:p>
        </w:tc>
        <w:tc>
          <w:tcPr>
            <w:tcW w:type="dxa" w:w="2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wymagane, 0 błędów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kolizji twardych i tolerancyjnych krytycznych</w:t>
            </w:r>
          </w:p>
        </w:tc>
        <w:tc>
          <w:tcPr>
            <w:tcW w:type="dxa" w:w="16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4D/5D wymagane, jeśli w zakresie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Dokumentacja powykonawcza</w:t>
            </w:r>
          </w:p>
        </w:tc>
        <w:tc>
          <w:tcPr>
            <w:tcW w:type="dxa" w:w="14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LOD4/LOD5</w:t>
            </w:r>
          </w:p>
        </w:tc>
        <w:tc>
          <w:tcPr>
            <w:tcW w:type="dxa" w:w="2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wymagane</w:t>
            </w:r>
          </w:p>
        </w:tc>
        <w:tc>
          <w:tcPr>
            <w:tcW w:type="dxa" w:w="20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0 kolizji</w:t>
            </w:r>
          </w:p>
        </w:tc>
        <w:tc>
          <w:tcPr>
            <w:tcW w:type="dxa" w:w="16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4D/5D wg stanu wykonania</w:t>
            </w:r>
          </w:p>
        </w:tc>
      </w:tr>
    </w:tbl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11. Role i odpowiedzialności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blHeader/>
        </w:trPr>
        <w:tc>
          <w:tcPr>
            <w:tcW w:type="dxa" w:w="3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Rola</w:t>
            </w:r>
          </w:p>
        </w:tc>
        <w:tc>
          <w:tcPr>
            <w:tcW w:type="dxa" w:w="6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28376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z w:val="16"/>
                <w:szCs w:val="16"/>
              </w:rPr>
              <w:t xml:space="preserve">Odpowiedzialność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BIM Manager Zamawiającego</w:t>
            </w:r>
          </w:p>
        </w:tc>
        <w:tc>
          <w:tcPr>
            <w:tcW w:type="dxa" w:w="6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Utrzymanie EIR, akceptacja BEP, nadzór nad procesem walidacji, akceptacja mapowania macierzy kolizji na kody BIM Standard PL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Koordynator BIM Wykonawcy</w:t>
            </w:r>
          </w:p>
        </w:tc>
        <w:tc>
          <w:tcPr>
            <w:tcW w:type="dxa" w:w="6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shd w:fill="F8F9FA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Agregacja modeli branżowych, uruchamianie koordynacji wielobranżowej, dystrybucja raportów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/>
                <w:bCs/>
                <w:i w:val="false"/>
                <w:iCs w:val="false"/>
                <w:color w:val="111827"/>
                <w:sz w:val="17"/>
                <w:szCs w:val="17"/>
              </w:rPr>
              <w:t xml:space="preserve">Dostawca modelu (branża)</w:t>
            </w:r>
          </w:p>
        </w:tc>
        <w:tc>
          <w:tcPr>
            <w:tcW w:type="dxa" w:w="6438"/>
            <w:tcBorders>
              <w:top w:val="single" w:color="E2E5EA" w:sz="4"/>
              <w:left w:val="single" w:color="E2E5EA" w:sz="4"/>
              <w:bottom w:val="single" w:color="E2E5EA" w:sz="4"/>
              <w:right w:val="single" w:color="E2E5EA" w:sz="4"/>
            </w:tcBorders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</w:rPr>
              <w:t xml:space="preserve">Modelowanie zgodne z EIR, walidacja własnego modelu przed przekazaniem, korekta niezgodności</w:t>
            </w:r>
          </w:p>
        </w:tc>
      </w:tr>
    </w:tbl>
    <w:p>
      <w:pPr>
        <w:pStyle w:val="Heading1"/>
        <w:pBdr>
          <w:bottom w:val="single" w:color="00A68A" w:sz="6" w:space="4"/>
        </w:pBdr>
        <w:spacing w:after="140" w:before="320"/>
      </w:pPr>
      <w:r>
        <w:rPr>
          <w:rFonts w:ascii="Plus Jakarta Sans ExtraBold" w:cs="Plus Jakarta Sans ExtraBold" w:eastAsia="Plus Jakarta Sans ExtraBold" w:hAnsi="Plus Jakarta Sans ExtraBold"/>
          <w:color w:val="28376A"/>
          <w:spacing w:val="8"/>
          <w:sz w:val="24"/>
          <w:szCs w:val="24"/>
        </w:rPr>
        <w:t xml:space="preserve">12. Załączniki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1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pełna macierz LOD i progów geometrycznych per kategoria / klasa IFC / etap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2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słownik kodów dyscyplin BIM Standard PL (rozdz. 4, pełna wersja)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3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pełna lista wymaganych Psetów i Qto per klasa IFC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4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słownik klasyfikacji bSDD projektu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5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macierz reguł kolizji międzybranżowych (para klas IFC × tolerancja mm × wykluczenia), przekluczowana na 20 kodów BIM Standard PL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6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wzór raportu walidacji (JSON / CSV / BCF)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rFonts w:ascii="Plus Jakarta Sans" w:cs="Plus Jakarta Sans" w:eastAsia="Plus Jakarta Sans" w:hAnsi="Plus Jakarta Sans"/>
          <w:b/>
          <w:bCs/>
          <w:i w:val="false"/>
          <w:iCs w:val="false"/>
          <w:color w:val="374151"/>
          <w:sz w:val="19"/>
          <w:szCs w:val="19"/>
        </w:rPr>
        <w:t xml:space="preserve">Załącznik 7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 — wzory plików wsadowych 4D/5D: harmonogram (</w:t>
      </w:r>
      <w:r>
        <w:rPr>
          <w:rFonts w:ascii="Consolas" w:cs="Consolas" w:eastAsia="Consolas" w:hAnsi="Consolas"/>
          <w:color w:val="0F3D5C"/>
          <w:sz w:val="18"/>
          <w:szCs w:val="18"/>
        </w:rPr>
        <w:t xml:space="preserve">ActivityID; Nazwa; Start; Finish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) i cennik (</w:t>
      </w:r>
      <w:r>
        <w:rPr>
          <w:rFonts w:ascii="Consolas" w:cs="Consolas" w:eastAsia="Consolas" w:hAnsi="Consolas"/>
          <w:color w:val="0F3D5C"/>
          <w:sz w:val="18"/>
          <w:szCs w:val="18"/>
        </w:rPr>
        <w:t xml:space="preserve">KodKosztorysowy; Nazwa; Parametr; CenaJednostkowa; JednostkaMiary</w:t>
      </w:r>
      <w:r>
        <w:rPr>
          <w:rFonts w:ascii="Plus Jakarta Sans" w:cs="Plus Jakarta Sans" w:eastAsia="Plus Jakarta Sans" w:hAnsi="Plus Jakarta Sans"/>
          <w:b w:val="false"/>
          <w:bCs w:val="false"/>
          <w:i w:val="false"/>
          <w:iCs w:val="false"/>
          <w:color w:val="374151"/>
          <w:sz w:val="19"/>
          <w:szCs w:val="19"/>
        </w:rPr>
        <w:t xml:space="preserve">)</w:t>
      </w:r>
    </w:p>
    <w:p>
      <w:pPr>
        <w:spacing w:after="0"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C46D4E" w:sz="18"/>
              <w:bottom w:val="none" w:color="FFFFFF" w:sz="0"/>
              <w:right w:val="none" w:color="FFFFFF" w:sz="0"/>
            </w:tcBorders>
            <w:shd w:fill="F8F9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/>
            </w:pPr>
            <w:r>
              <w:rPr>
                <w:rFonts w:ascii="Plus Jakarta Sans" w:cs="Plus Jakarta Sans" w:eastAsia="Plus Jakarta Sans" w:hAnsi="Plus Jakarta Sans"/>
                <w:b w:val="false"/>
                <w:bCs w:val="false"/>
                <w:i w:val="false"/>
                <w:iCs w:val="false"/>
                <w:color w:val="374151"/>
                <w:sz w:val="19"/>
                <w:szCs w:val="19"/>
              </w:rPr>
              <w:t xml:space="preserve">Dokument roboczy — wymaga uzupełnienia danych projektowych oraz uzgodnienia z działem prawnym w zakresie sankcji za niezgodność przed włączeniem do umowy.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5EA" w:sz="4" w:space="6"/>
      </w:pBdr>
      <w:tabs>
        <w:tab w:val="right" w:pos="9026"/>
      </w:tabs>
    </w:pPr>
    <w:r>
      <w:rPr>
        <w:rFonts w:ascii="Plus Jakarta Sans" w:cs="Plus Jakarta Sans" w:eastAsia="Plus Jakarta Sans" w:hAnsi="Plus Jakarta Sans"/>
        <w:color w:val="64748B"/>
        <w:sz w:val="14"/>
        <w:szCs w:val="14"/>
      </w:rPr>
      <w:t xml:space="preserve">yourBIM  •  EIR  •  www.yourbim.pl</w:t>
    </w:r>
    <w:r>
      <w:rPr>
        <w:rFonts w:ascii="Plus Jakarta Sans" w:cs="Plus Jakarta Sans" w:eastAsia="Plus Jakarta Sans" w:hAnsi="Plus Jakarta Sans"/>
        <w:color w:val="64748B"/>
        <w:sz w:val="14"/>
        <w:szCs w:val="14"/>
      </w:rPr>
      <w:t xml:space="preserve">	Strona </w:t>
    </w:r>
    <w:r>
      <w:rPr>
        <w:rFonts w:ascii="Plus Jakarta Sans" w:cs="Plus Jakarta Sans" w:eastAsia="Plus Jakarta Sans" w:hAnsi="Plus Jakarta Sans"/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lus Jakarta Sans" w:cs="Plus Jakarta Sans" w:eastAsia="Plus Jakarta Sans" w:hAnsi="Plus Jakarta Sans"/>
        <w:color w:val="64748B"/>
        <w:sz w:val="14"/>
        <w:szCs w:val="14"/>
      </w:rPr>
      <w:t xml:space="preserve"> / </w:t>
    </w:r>
    <w:r>
      <w:rPr>
        <w:rFonts w:ascii="Plus Jakarta Sans" w:cs="Plus Jakarta Sans" w:eastAsia="Plus Jakarta Sans" w:hAnsi="Plus Jakarta Sans"/>
        <w:color w:val="64748B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376A" w:sz="6" w:space="8"/>
      </w:pBdr>
      <w:spacing w:after="120"/>
    </w:pPr>
    <w:r>
      <w:drawing>
        <wp:inline distT="0" distB="0" distL="0" distR="0">
          <wp:extent cx="10477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</w:pPr>
    <w:rPr>
      <w:rFonts w:ascii="Plus Jakarta Sans ExtraBold" w:cs="Plus Jakarta Sans ExtraBold" w:eastAsia="Plus Jakarta Sans ExtraBold" w:hAnsi="Plus Jakarta Sans ExtraBold"/>
      <w:b w:val="false"/>
      <w:bCs w:val="false"/>
      <w:color w:val="28376A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40" w:before="220"/>
    </w:pPr>
    <w:rPr>
      <w:rFonts w:ascii="Plus Jakarta Sans SemiBold" w:cs="Plus Jakarta Sans SemiBold" w:eastAsia="Plus Jakarta Sans SemiBold" w:hAnsi="Plus Jakarta Sans SemiBold"/>
      <w:b w:val="false"/>
      <w:bCs w:val="false"/>
      <w:color w:val="28376A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cf8f6cb0fd3f8b519ba5e0c568c2fa7c9e6c588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1ED6DF938CF45AFA6BCB457C11B6C" ma:contentTypeVersion="11" ma:contentTypeDescription="Create a new document." ma:contentTypeScope="" ma:versionID="a4ad4be3ec69d9e59e64f46e95d5f09f">
  <xsd:schema xmlns:xsd="http://www.w3.org/2001/XMLSchema" xmlns:xs="http://www.w3.org/2001/XMLSchema" xmlns:p="http://schemas.microsoft.com/office/2006/metadata/properties" xmlns:ns2="7d743fcb-d3e9-4c55-89a8-24ef4a3b884d" xmlns:ns3="3e4ee01e-93fa-4e37-b797-95dad814cceb" targetNamespace="http://schemas.microsoft.com/office/2006/metadata/properties" ma:root="true" ma:fieldsID="57fc283b97bf130988a9ef0744c7ecac" ns2:_="" ns3:_="">
    <xsd:import namespace="7d743fcb-d3e9-4c55-89a8-24ef4a3b884d"/>
    <xsd:import namespace="3e4ee01e-93fa-4e37-b797-95dad814c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43fcb-d3e9-4c55-89a8-24ef4a3b88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88e94b4-9625-483f-be4f-781343cd3b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ee01e-93fa-4e37-b797-95dad814cce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4ec6525-8e72-42a0-8c6d-16ab17fff654}" ma:internalName="TaxCatchAll" ma:showField="CatchAllData" ma:web="3e4ee01e-93fa-4e37-b797-95dad814c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4ee01e-93fa-4e37-b797-95dad814cceb" xsi:nil="true"/>
    <lcf76f155ced4ddcb4097134ff3c332f xmlns="7d743fcb-d3e9-4c55-89a8-24ef4a3b88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57CAB2-A6CB-4209-BF36-D17FF9CDDFA9}"/>
</file>

<file path=customXml/itemProps2.xml><?xml version="1.0" encoding="utf-8"?>
<ds:datastoreItem xmlns:ds="http://schemas.openxmlformats.org/officeDocument/2006/customXml" ds:itemID="{BF5B39E8-1813-4591-942B-C432A4B07E4A}"/>
</file>

<file path=customXml/itemProps3.xml><?xml version="1.0" encoding="utf-8"?>
<ds:datastoreItem xmlns:ds="http://schemas.openxmlformats.org/officeDocument/2006/customXml" ds:itemID="{C9BF5F0E-E993-4275-B271-FCCB5C859D7F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2026-09-03T17:27:47Z</dcterms:created>
  <dcterms:modified xsi:type="dcterms:W3CDTF">2026-09-03T17:27:47Z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0x0101002DC1ED6DF938CF45AFA6BCB457C11B6C</vt:lpwstr>
  </property>
</Properties>
</file>